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highlight w:val="none"/>
        </w:rPr>
      </w:pPr>
      <w:r>
        <w:rPr>
          <w:rFonts w:ascii="Arial" w:hAnsi="Arial" w:eastAsia="Arial" w:cs="Arial"/>
          <w:b w:val="0"/>
          <w:bCs w:val="0"/>
          <w:color w:val="000000" w:themeColor="text1"/>
          <w:sz w:val="26"/>
          <w:szCs w:val="26"/>
          <w:highlight w:val="none"/>
        </w:rPr>
      </w:r>
      <w:r>
        <w:rPr>
          <w:rFonts w:ascii="Arial" w:hAnsi="Arial" w:eastAsia="Arial" w:cs="Arial"/>
          <w:b/>
          <w:bCs/>
          <w:color w:val="000000" w:themeColor="text1"/>
          <w:sz w:val="26"/>
          <w:szCs w:val="26"/>
          <w:highlight w:val="none"/>
        </w:rPr>
        <w:t xml:space="preserve">Анонс продажи непрофильных активов</w:t>
      </w:r>
      <w:r>
        <w:rPr>
          <w:rFonts w:ascii="Arial" w:hAnsi="Arial" w:cs="Arial"/>
          <w:b/>
          <w:bCs/>
          <w:color w:val="000000" w:themeColor="text1"/>
          <w:sz w:val="26"/>
          <w:szCs w:val="26"/>
          <w:highlight w:val="none"/>
        </w:rPr>
      </w:r>
      <w:r>
        <w:rPr>
          <w:rFonts w:ascii="Arial" w:hAnsi="Arial" w:cs="Arial"/>
          <w:b/>
          <w:bCs/>
          <w:color w:val="000000" w:themeColor="text1"/>
          <w:sz w:val="26"/>
          <w:szCs w:val="26"/>
          <w:highlight w:val="none"/>
        </w:rPr>
      </w:r>
    </w:p>
    <w:p>
      <w:pPr>
        <w:jc w:val="both"/>
        <w:rPr>
          <w:rFonts w:ascii="Arial" w:hAnsi="Arial" w:cs="Arial"/>
          <w:color w:val="2e2e2e"/>
          <w:sz w:val="26"/>
          <w:szCs w:val="26"/>
          <w:highlight w:val="none"/>
        </w:rPr>
      </w:pPr>
      <w:r>
        <w:rPr>
          <w:rFonts w:ascii="Arial" w:hAnsi="Arial" w:eastAsia="Arial" w:cs="Arial"/>
          <w:b/>
          <w:bCs/>
          <w:color w:val="000000" w:themeColor="text1"/>
          <w:sz w:val="26"/>
          <w:szCs w:val="26"/>
          <w:highlight w:val="none"/>
        </w:rPr>
        <w:t xml:space="preserve"> </w:t>
      </w:r>
      <w:r>
        <w:rPr>
          <w:rFonts w:ascii="Arial" w:hAnsi="Arial" w:eastAsia="Arial" w:cs="Arial"/>
          <w:color w:val="2e2e2e"/>
          <w:sz w:val="26"/>
          <w:szCs w:val="26"/>
          <w:highlight w:val="none"/>
        </w:rPr>
        <w:t xml:space="preserve">ПАО "ДНПП" информирует о проведении торгов по реализации непрофильных активов, утративших потребительские свойства:</w:t>
      </w:r>
      <w:r>
        <w:rPr>
          <w:rFonts w:ascii="Arial" w:hAnsi="Arial" w:cs="Arial"/>
          <w:color w:val="2e2e2e"/>
          <w:sz w:val="26"/>
          <w:szCs w:val="26"/>
          <w:highlight w:val="none"/>
        </w:rPr>
      </w:r>
      <w:r>
        <w:rPr>
          <w:rFonts w:ascii="Arial" w:hAnsi="Arial" w:cs="Arial"/>
          <w:color w:val="2e2e2e"/>
          <w:sz w:val="26"/>
          <w:szCs w:val="26"/>
          <w:highlight w:val="none"/>
        </w:rPr>
      </w:r>
    </w:p>
    <w:p>
      <w:pPr>
        <w:pStyle w:val="621"/>
        <w:numPr>
          <w:ilvl w:val="0"/>
          <w:numId w:val="1"/>
        </w:numPr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eastAsia="Arial" w:cs="Arial"/>
          <w:color w:val="2e2e2e"/>
          <w:sz w:val="26"/>
          <w:szCs w:val="26"/>
          <w:highlight w:val="none"/>
        </w:rPr>
      </w:r>
      <w:r>
        <w:rPr>
          <w:rFonts w:ascii="Arial" w:hAnsi="Arial" w:eastAsia="Arial" w:cs="Arial"/>
          <w:color w:val="000000"/>
          <w:sz w:val="26"/>
          <w:szCs w:val="26"/>
        </w:rPr>
        <w:t xml:space="preserve">Обрабатывающие центры с ПУ, в количестве 2-х единиц;</w:t>
      </w:r>
      <w:r>
        <w:rPr>
          <w:rFonts w:ascii="Arial" w:hAnsi="Arial" w:cs="Arial"/>
          <w:color w:val="000000"/>
          <w:sz w:val="26"/>
          <w:szCs w:val="26"/>
        </w:rPr>
      </w:r>
      <w:r>
        <w:rPr>
          <w:rFonts w:ascii="Arial" w:hAnsi="Arial" w:cs="Arial"/>
          <w:color w:val="000000"/>
          <w:sz w:val="26"/>
          <w:szCs w:val="26"/>
        </w:rPr>
      </w:r>
    </w:p>
    <w:p>
      <w:pPr>
        <w:pStyle w:val="621"/>
        <w:numPr>
          <w:ilvl w:val="0"/>
          <w:numId w:val="1"/>
        </w:numPr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eastAsia="Arial" w:cs="Arial"/>
          <w:color w:val="000000"/>
          <w:sz w:val="26"/>
          <w:szCs w:val="26"/>
        </w:rPr>
        <w:t xml:space="preserve">Станки вертикально- фрезерные, в количестве 2-х единиц;</w:t>
      </w:r>
      <w:r>
        <w:rPr>
          <w:rFonts w:ascii="Arial" w:hAnsi="Arial" w:cs="Arial"/>
          <w:color w:val="000000"/>
          <w:sz w:val="26"/>
          <w:szCs w:val="26"/>
        </w:rPr>
      </w:r>
      <w:r>
        <w:rPr>
          <w:rFonts w:ascii="Arial" w:hAnsi="Arial" w:cs="Arial"/>
          <w:color w:val="000000"/>
          <w:sz w:val="26"/>
          <w:szCs w:val="26"/>
        </w:rPr>
      </w:r>
    </w:p>
    <w:p>
      <w:pPr>
        <w:pStyle w:val="621"/>
        <w:numPr>
          <w:ilvl w:val="0"/>
          <w:numId w:val="1"/>
        </w:numPr>
        <w:ind w:left="0" w:right="0" w:firstLine="349"/>
        <w:jc w:val="both"/>
        <w:rPr>
          <w:rFonts w:ascii="Arial" w:hAnsi="Arial" w:cs="Arial"/>
          <w:b w:val="0"/>
          <w:bCs w:val="0"/>
          <w:color w:val="2e2e2e"/>
          <w:sz w:val="26"/>
          <w:szCs w:val="26"/>
          <w:highlight w:val="none"/>
        </w:rPr>
      </w:pPr>
      <w:r>
        <w:rPr>
          <w:rFonts w:ascii="Arial" w:hAnsi="Arial" w:eastAsia="Arial" w:cs="Arial"/>
          <w:b w:val="0"/>
          <w:bCs w:val="0"/>
          <w:color w:val="2e2e2e"/>
          <w:sz w:val="26"/>
          <w:szCs w:val="26"/>
          <w:highlight w:val="none"/>
        </w:rPr>
        <w:t xml:space="preserve">Электропечи, в количестве 2-х единиц;</w:t>
      </w:r>
      <w:r>
        <w:rPr>
          <w:rFonts w:ascii="Arial" w:hAnsi="Arial" w:cs="Arial"/>
          <w:b w:val="0"/>
          <w:bCs w:val="0"/>
          <w:color w:val="2e2e2e"/>
          <w:sz w:val="26"/>
          <w:szCs w:val="26"/>
          <w:highlight w:val="none"/>
        </w:rPr>
      </w:r>
      <w:r>
        <w:rPr>
          <w:rFonts w:ascii="Arial" w:hAnsi="Arial" w:cs="Arial"/>
          <w:b w:val="0"/>
          <w:bCs w:val="0"/>
          <w:color w:val="2e2e2e"/>
          <w:sz w:val="26"/>
          <w:szCs w:val="26"/>
          <w:highlight w:val="none"/>
        </w:rPr>
      </w:r>
    </w:p>
    <w:p>
      <w:pPr>
        <w:pStyle w:val="621"/>
        <w:numPr>
          <w:ilvl w:val="0"/>
          <w:numId w:val="1"/>
        </w:numPr>
        <w:ind w:left="0" w:right="0" w:firstLine="349"/>
        <w:jc w:val="both"/>
        <w:rPr>
          <w:rFonts w:ascii="Arial" w:hAnsi="Arial" w:cs="Arial"/>
          <w:b w:val="0"/>
          <w:bCs w:val="0"/>
          <w:color w:val="2e2e2e"/>
          <w:sz w:val="26"/>
          <w:szCs w:val="26"/>
          <w:highlight w:val="none"/>
        </w:rPr>
      </w:pPr>
      <w:r>
        <w:rPr>
          <w:rFonts w:ascii="Arial" w:hAnsi="Arial" w:eastAsia="Arial" w:cs="Arial"/>
          <w:b w:val="0"/>
          <w:bCs w:val="0"/>
          <w:color w:val="2e2e2e"/>
          <w:sz w:val="26"/>
          <w:szCs w:val="26"/>
          <w:highlight w:val="none"/>
        </w:rPr>
        <w:t xml:space="preserve">Лазер высокоскоростной, высокоточный.</w:t>
      </w:r>
      <w:r>
        <w:rPr>
          <w:rFonts w:ascii="Arial" w:hAnsi="Arial" w:cs="Arial"/>
          <w:b w:val="0"/>
          <w:bCs w:val="0"/>
          <w:color w:val="2e2e2e"/>
          <w:sz w:val="26"/>
          <w:szCs w:val="26"/>
          <w:highlight w:val="none"/>
        </w:rPr>
      </w:r>
      <w:r>
        <w:rPr>
          <w:rFonts w:ascii="Arial" w:hAnsi="Arial" w:cs="Arial"/>
          <w:b w:val="0"/>
          <w:bCs w:val="0"/>
          <w:color w:val="2e2e2e"/>
          <w:sz w:val="26"/>
          <w:szCs w:val="26"/>
          <w:highlight w:val="none"/>
        </w:rPr>
      </w:r>
    </w:p>
    <w:p>
      <w:pPr>
        <w:ind w:left="0" w:right="0" w:firstLine="0"/>
        <w:jc w:val="both"/>
        <w:rPr>
          <w:rFonts w:ascii="Arial" w:hAnsi="Arial" w:cs="Arial"/>
          <w:color w:val="2e2e2e"/>
          <w:sz w:val="26"/>
          <w:szCs w:val="26"/>
          <w:highlight w:val="none"/>
        </w:rPr>
      </w:pPr>
      <w:r>
        <w:rPr>
          <w:rFonts w:ascii="Arial" w:hAnsi="Arial" w:eastAsia="Arial" w:cs="Arial"/>
          <w:b/>
          <w:bCs/>
          <w:color w:val="2e2e2e"/>
          <w:sz w:val="26"/>
          <w:szCs w:val="26"/>
          <w:highlight w:val="none"/>
        </w:rPr>
      </w:r>
      <w:r>
        <w:rPr>
          <w:rFonts w:ascii="Arial" w:hAnsi="Arial" w:eastAsia="Arial" w:cs="Arial"/>
          <w:b/>
          <w:bCs/>
          <w:color w:val="2e2e2e"/>
          <w:sz w:val="26"/>
          <w:szCs w:val="26"/>
          <w:highlight w:val="none"/>
        </w:rPr>
        <w:t xml:space="preserve">Место проведения торгов:</w:t>
      </w:r>
      <w:r>
        <w:rPr>
          <w:rFonts w:ascii="Arial" w:hAnsi="Arial" w:eastAsia="Arial" w:cs="Arial"/>
          <w:color w:val="2e2e2e"/>
          <w:sz w:val="26"/>
          <w:szCs w:val="26"/>
          <w:highlight w:val="none"/>
        </w:rPr>
        <w:t xml:space="preserve"> электронно торговая площадка "ЭТП ГПБ" </w:t>
      </w:r>
      <w:hyperlink w:tooltip="http://etp.gpb.ru/" w:history="1">
        <w:r>
          <w:rPr>
            <w:rStyle w:val="174"/>
            <w:rFonts w:ascii="Arial" w:hAnsi="Arial" w:eastAsia="Arial" w:cs="Arial"/>
            <w:color w:val="295494"/>
            <w:sz w:val="26"/>
            <w:szCs w:val="26"/>
            <w:highlight w:val="none"/>
            <w:u w:val="none"/>
          </w:rPr>
          <w:t xml:space="preserve">http://etp.gpb.ru</w:t>
        </w:r>
      </w:hyperlink>
      <w:r>
        <w:rPr>
          <w:rFonts w:ascii="Arial" w:hAnsi="Arial" w:eastAsia="Arial" w:cs="Arial"/>
          <w:color w:val="2e2e2e"/>
          <w:sz w:val="26"/>
          <w:szCs w:val="26"/>
          <w:highlight w:val="none"/>
        </w:rPr>
        <w:t xml:space="preserve">, </w:t>
      </w:r>
      <w:r>
        <w:rPr>
          <w:rFonts w:ascii="Arial" w:hAnsi="Arial" w:cs="Arial"/>
          <w:color w:val="2e2e2e"/>
          <w:sz w:val="26"/>
          <w:szCs w:val="26"/>
          <w:highlight w:val="none"/>
        </w:rPr>
      </w:r>
      <w:r>
        <w:rPr>
          <w:rFonts w:ascii="Arial" w:hAnsi="Arial" w:cs="Arial"/>
          <w:color w:val="2e2e2e"/>
          <w:sz w:val="26"/>
          <w:szCs w:val="26"/>
          <w:highlight w:val="none"/>
        </w:rPr>
      </w:r>
    </w:p>
    <w:p>
      <w:pPr>
        <w:jc w:val="both"/>
        <w:rPr>
          <w:rFonts w:ascii="Arial" w:hAnsi="Arial" w:cs="Arial"/>
          <w:b w:val="0"/>
          <w:bCs w:val="0"/>
          <w:color w:val="2e2e2e"/>
          <w:sz w:val="26"/>
          <w:szCs w:val="26"/>
          <w:highlight w:val="none"/>
        </w:rPr>
      </w:pPr>
      <w:r>
        <w:rPr>
          <w:rFonts w:ascii="Arial" w:hAnsi="Arial" w:eastAsia="Arial" w:cs="Arial"/>
          <w:color w:val="2e2e2e"/>
          <w:sz w:val="26"/>
          <w:szCs w:val="26"/>
          <w:highlight w:val="none"/>
        </w:rPr>
      </w:r>
      <w:r>
        <w:rPr>
          <w:rFonts w:ascii="Arial" w:hAnsi="Arial" w:eastAsia="Arial" w:cs="Arial"/>
          <w:b/>
          <w:bCs/>
          <w:color w:val="2e2e2e"/>
          <w:sz w:val="26"/>
          <w:szCs w:val="26"/>
          <w:highlight w:val="none"/>
        </w:rPr>
        <w:t xml:space="preserve">Номер извещений </w:t>
      </w:r>
      <w:r>
        <w:rPr>
          <w:rFonts w:ascii="Arial" w:hAnsi="Arial" w:eastAsia="Arial" w:cs="Arial"/>
          <w:color w:val="2e2e2e"/>
          <w:sz w:val="26"/>
          <w:szCs w:val="26"/>
          <w:highlight w:val="none"/>
        </w:rPr>
        <w:t xml:space="preserve">- </w:t>
      </w:r>
      <w:r>
        <w:rPr>
          <w:rFonts w:ascii="Arial" w:hAnsi="Arial" w:eastAsia="Arial" w:cs="Arial"/>
          <w:color w:val="000000"/>
          <w:sz w:val="26"/>
          <w:szCs w:val="26"/>
        </w:rPr>
        <w:t xml:space="preserve">ИМ009453; </w:t>
      </w:r>
      <w:r>
        <w:rPr>
          <w:rFonts w:ascii="Arial" w:hAnsi="Arial" w:eastAsia="Arial" w:cs="Arial"/>
          <w:color w:val="000000"/>
          <w:sz w:val="26"/>
          <w:szCs w:val="26"/>
        </w:rPr>
        <w:t xml:space="preserve">ИМ009456</w:t>
      </w:r>
      <w:r>
        <w:rPr>
          <w:rFonts w:ascii="Arial" w:hAnsi="Arial" w:eastAsia="Arial" w:cs="Arial"/>
          <w:color w:val="000000"/>
          <w:sz w:val="26"/>
          <w:szCs w:val="26"/>
        </w:rPr>
        <w:t xml:space="preserve">; </w:t>
      </w:r>
      <w:r>
        <w:rPr>
          <w:rFonts w:ascii="Arial" w:hAnsi="Arial" w:eastAsia="Arial" w:cs="Arial"/>
          <w:color w:val="000000"/>
          <w:sz w:val="26"/>
          <w:szCs w:val="26"/>
        </w:rPr>
        <w:t xml:space="preserve">ИМ009457; </w:t>
      </w:r>
      <w:r>
        <w:rPr>
          <w:rFonts w:ascii="Arial" w:hAnsi="Arial" w:eastAsia="Arial" w:cs="Arial"/>
          <w:color w:val="000000"/>
          <w:sz w:val="26"/>
          <w:szCs w:val="26"/>
        </w:rPr>
        <w:t xml:space="preserve">ИМ009463</w:t>
      </w:r>
      <w:r>
        <w:rPr>
          <w:rFonts w:ascii="Arial" w:hAnsi="Arial" w:eastAsia="Arial" w:cs="Arial"/>
          <w:sz w:val="26"/>
          <w:szCs w:val="26"/>
        </w:rPr>
        <w:br/>
      </w:r>
      <w:r>
        <w:rPr>
          <w:rFonts w:ascii="Arial" w:hAnsi="Arial" w:eastAsia="Arial" w:cs="Arial"/>
          <w:b/>
          <w:bCs/>
          <w:color w:val="2e2e2e"/>
          <w:sz w:val="26"/>
          <w:szCs w:val="26"/>
          <w:highlight w:val="none"/>
        </w:rPr>
        <w:t xml:space="preserve">Вид торговой процедуры</w:t>
      </w:r>
      <w:r>
        <w:rPr>
          <w:rFonts w:ascii="Arial" w:hAnsi="Arial" w:eastAsia="Arial" w:cs="Arial"/>
          <w:color w:val="2e2e2e"/>
          <w:sz w:val="26"/>
          <w:szCs w:val="26"/>
          <w:highlight w:val="none"/>
        </w:rPr>
        <w:t xml:space="preserve">: открытый аукцион на повышение в электронной форме.</w:t>
        <w:br/>
      </w:r>
      <w:r>
        <w:rPr>
          <w:rFonts w:ascii="Arial" w:hAnsi="Arial" w:eastAsia="Arial" w:cs="Arial"/>
          <w:b/>
          <w:bCs/>
          <w:color w:val="2e2e2e"/>
          <w:sz w:val="26"/>
          <w:szCs w:val="26"/>
          <w:highlight w:val="none"/>
        </w:rPr>
        <w:t xml:space="preserve">Дата начала приема заявок: </w:t>
      </w:r>
      <w:r>
        <w:rPr>
          <w:rFonts w:ascii="Arial" w:hAnsi="Arial" w:eastAsia="Arial" w:cs="Arial"/>
          <w:b w:val="0"/>
          <w:bCs w:val="0"/>
          <w:color w:val="2e2e2e"/>
          <w:sz w:val="26"/>
          <w:szCs w:val="26"/>
          <w:highlight w:val="none"/>
        </w:rPr>
        <w:t xml:space="preserve">05.06.2026</w:t>
      </w:r>
      <w:r>
        <w:rPr>
          <w:rFonts w:ascii="Arial" w:hAnsi="Arial" w:cs="Arial"/>
          <w:b w:val="0"/>
          <w:bCs w:val="0"/>
          <w:color w:val="2e2e2e"/>
          <w:sz w:val="26"/>
          <w:szCs w:val="26"/>
          <w:highlight w:val="none"/>
        </w:rPr>
      </w:r>
      <w:r>
        <w:rPr>
          <w:rFonts w:ascii="Arial" w:hAnsi="Arial" w:cs="Arial"/>
          <w:b w:val="0"/>
          <w:bCs w:val="0"/>
          <w:color w:val="2e2e2e"/>
          <w:sz w:val="26"/>
          <w:szCs w:val="26"/>
          <w:highlight w:val="none"/>
        </w:rPr>
      </w:r>
    </w:p>
    <w:p>
      <w:pPr>
        <w:jc w:val="both"/>
        <w:rPr>
          <w:rFonts w:ascii="Arial" w:hAnsi="Arial" w:cs="Arial"/>
          <w:color w:val="2e2e2e"/>
          <w:sz w:val="26"/>
          <w:szCs w:val="26"/>
          <w:highlight w:val="none"/>
        </w:rPr>
      </w:pPr>
      <w:r>
        <w:rPr>
          <w:rFonts w:ascii="Arial" w:hAnsi="Arial" w:eastAsia="Arial" w:cs="Arial"/>
          <w:b/>
          <w:bCs/>
          <w:color w:val="2e2e2e"/>
          <w:sz w:val="26"/>
          <w:szCs w:val="26"/>
          <w:highlight w:val="none"/>
        </w:rPr>
        <w:t xml:space="preserve">Дата окончания срока подачи заявок:</w:t>
      </w:r>
      <w:r>
        <w:rPr>
          <w:rFonts w:ascii="Arial" w:hAnsi="Arial" w:eastAsia="Arial" w:cs="Arial"/>
          <w:color w:val="2e2e2e"/>
          <w:sz w:val="26"/>
          <w:szCs w:val="26"/>
          <w:highlight w:val="none"/>
        </w:rPr>
        <w:t xml:space="preserve"> 21</w:t>
      </w:r>
      <w:r>
        <w:rPr>
          <w:rFonts w:ascii="Arial" w:hAnsi="Arial" w:eastAsia="Arial" w:cs="Arial"/>
          <w:b w:val="0"/>
          <w:bCs w:val="0"/>
          <w:color w:val="2e2e2e"/>
          <w:sz w:val="26"/>
          <w:szCs w:val="26"/>
          <w:highlight w:val="none"/>
        </w:rPr>
        <w:t xml:space="preserve">.07.2026</w:t>
      </w:r>
      <w:r>
        <w:rPr>
          <w:rFonts w:ascii="Arial" w:hAnsi="Arial" w:eastAsia="Arial" w:cs="Arial"/>
          <w:color w:val="2e2e2e"/>
          <w:sz w:val="26"/>
          <w:szCs w:val="26"/>
          <w:highlight w:val="none"/>
        </w:rPr>
        <w:br/>
      </w:r>
      <w:r>
        <w:rPr>
          <w:rFonts w:ascii="Arial" w:hAnsi="Arial" w:eastAsia="Arial" w:cs="Arial"/>
          <w:b/>
          <w:bCs/>
          <w:color w:val="2e2e2e"/>
          <w:sz w:val="26"/>
          <w:szCs w:val="26"/>
          <w:highlight w:val="none"/>
        </w:rPr>
        <w:t xml:space="preserve">Дата проведения аукциона</w:t>
      </w:r>
      <w:r>
        <w:rPr>
          <w:rFonts w:ascii="Arial" w:hAnsi="Arial" w:eastAsia="Arial" w:cs="Arial"/>
          <w:color w:val="2e2e2e"/>
          <w:sz w:val="26"/>
          <w:szCs w:val="26"/>
          <w:highlight w:val="none"/>
        </w:rPr>
        <w:t xml:space="preserve">: 24</w:t>
      </w:r>
      <w:r>
        <w:rPr>
          <w:rFonts w:ascii="Arial" w:hAnsi="Arial" w:eastAsia="Arial" w:cs="Arial"/>
          <w:b w:val="0"/>
          <w:bCs w:val="0"/>
          <w:color w:val="2e2e2e"/>
          <w:sz w:val="26"/>
          <w:szCs w:val="26"/>
          <w:highlight w:val="none"/>
        </w:rPr>
        <w:t xml:space="preserve">.07.2026, время - 09.00</w:t>
      </w:r>
      <w:r>
        <w:rPr>
          <w:rFonts w:ascii="Arial" w:hAnsi="Arial" w:cs="Arial"/>
          <w:color w:val="2e2e2e"/>
          <w:sz w:val="26"/>
          <w:szCs w:val="26"/>
          <w:highlight w:val="none"/>
        </w:rPr>
      </w:r>
      <w:r>
        <w:rPr>
          <w:rFonts w:ascii="Arial" w:hAnsi="Arial" w:cs="Arial"/>
          <w:color w:val="2e2e2e"/>
          <w:sz w:val="26"/>
          <w:szCs w:val="26"/>
          <w:highlight w:val="none"/>
        </w:rPr>
      </w:r>
    </w:p>
    <w:p>
      <w:pPr>
        <w:jc w:val="both"/>
        <w:rPr>
          <w:rFonts w:ascii="Arial" w:hAnsi="Arial" w:cs="Arial"/>
          <w:b w:val="0"/>
          <w:bCs w:val="0"/>
          <w:color w:val="000000" w:themeColor="text1"/>
          <w:sz w:val="26"/>
          <w:szCs w:val="26"/>
        </w:rPr>
      </w:pPr>
      <w:r>
        <w:rPr>
          <w:rFonts w:ascii="Arial" w:hAnsi="Arial" w:eastAsia="Arial" w:cs="Arial"/>
          <w:color w:val="2e2e2e"/>
          <w:sz w:val="26"/>
          <w:szCs w:val="26"/>
          <w:highlight w:val="none"/>
        </w:rPr>
      </w:r>
      <w:r>
        <w:rPr>
          <w:rFonts w:ascii="Arial" w:hAnsi="Arial" w:eastAsia="Arial" w:cs="Arial"/>
          <w:color w:val="2e2e2e"/>
          <w:sz w:val="26"/>
          <w:szCs w:val="26"/>
          <w:highlight w:val="none"/>
        </w:rPr>
        <w:t xml:space="preserve">Контактное лицо по вопросам осмотра оборудования, выставлен</w:t>
      </w:r>
      <w:r>
        <w:rPr>
          <w:rFonts w:ascii="Arial" w:hAnsi="Arial" w:eastAsia="Arial" w:cs="Arial"/>
          <w:color w:val="2e2e2e"/>
          <w:sz w:val="26"/>
          <w:szCs w:val="26"/>
          <w:highlight w:val="none"/>
        </w:rPr>
        <w:t xml:space="preserve">ного на торги: Леонов Виталий Олегович, тел.(495) 408-45-90</w:t>
      </w:r>
      <w:r>
        <w:rPr>
          <w:rFonts w:ascii="Arial" w:hAnsi="Arial" w:cs="Arial"/>
          <w:b w:val="0"/>
          <w:bCs w:val="0"/>
          <w:color w:val="000000" w:themeColor="text1"/>
          <w:sz w:val="26"/>
          <w:szCs w:val="26"/>
        </w:rPr>
      </w:r>
      <w:r>
        <w:rPr>
          <w:rFonts w:ascii="Arial" w:hAnsi="Arial" w:cs="Arial"/>
          <w:b w:val="0"/>
          <w:bCs w:val="0"/>
          <w:color w:val="000000" w:themeColor="text1"/>
          <w:sz w:val="26"/>
          <w:szCs w:val="26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Ильин Дмитрий</cp:lastModifiedBy>
  <cp:revision>1</cp:revision>
  <dcterms:modified xsi:type="dcterms:W3CDTF">2026-06-08T05:37:19Z</dcterms:modified>
</cp:coreProperties>
</file>